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992E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5618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  <w:r w:rsidR="00180E6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6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Pr="000B2C11" w:rsidRDefault="007A7857" w:rsidP="005D6F70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044E2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перечень работ по капремонту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92E75" w:rsidRDefault="00A64136" w:rsidP="00A6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2E7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Если собственники помещений в многоквартирном доме приняли решение об открытии спецсчета и о размере взноса на капремонт, большем </w:t>
      </w:r>
    </w:p>
    <w:p w:rsidR="00992E75" w:rsidRDefault="00A64136" w:rsidP="00A6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2E7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чем минимальный, то на какие виды дополнительных работ по капитальному ремонту можно израсходовать средства? Возможно ли выполнить работы по благоустройству дворовой территории? </w:t>
      </w:r>
    </w:p>
    <w:p w:rsidR="00681C8C" w:rsidRPr="00992E75" w:rsidRDefault="00A64136" w:rsidP="00A6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92E7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(земельный участок является общим имуществом многоквартирного дома).</w:t>
      </w:r>
    </w:p>
    <w:p w:rsidR="00681C8C" w:rsidRPr="00992E75" w:rsidRDefault="00681C8C" w:rsidP="00A6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 (часть 3 статьи 166 ЖК РФ).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Таким образом, указанные выше денежные средства могут быть использованы на благоустройство придомовой территории, включенной в состав общего имущества собственников помещений в МКД в установленном порядке.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992E75">
        <w:rPr>
          <w:b/>
          <w:i/>
          <w:color w:val="0070C0"/>
          <w:sz w:val="28"/>
          <w:szCs w:val="28"/>
          <w:u w:val="single"/>
        </w:rPr>
        <w:t xml:space="preserve">Какие работы могут выполняться за счет средств, 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992E75">
        <w:rPr>
          <w:b/>
          <w:i/>
          <w:color w:val="0070C0"/>
          <w:sz w:val="28"/>
          <w:szCs w:val="28"/>
          <w:u w:val="single"/>
        </w:rPr>
        <w:t xml:space="preserve">выделяемых субъектом РФ на проведение 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992E75">
        <w:rPr>
          <w:b/>
          <w:i/>
          <w:color w:val="0070C0"/>
          <w:sz w:val="28"/>
          <w:szCs w:val="28"/>
          <w:u w:val="single"/>
        </w:rPr>
        <w:t>капитального ремонта?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 xml:space="preserve">Действующая система капитального ремонта общего имущества в МКД предусматривает различные схемы финансирования его проведения. Неизменным остается одно: основной источник финансирования – это взносы собственников помещений в МКД. Органы государственной власти субъекта РФ устанавливают минимальный размер взноса на капитальный ремонт общего имущества в МКД. Перечень услуг и (или) работ по </w:t>
      </w:r>
      <w:r w:rsidRPr="00992E75">
        <w:rPr>
          <w:color w:val="000000"/>
        </w:rPr>
        <w:lastRenderedPageBreak/>
        <w:t>капитальному ремонту общего имущества в МКД,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согласно ч. 1 ст. 166 ЖК РФ включает в себя: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1) ремонт внутридомовых инженерных систем электро-, тепло-, газо-, водоснабжения, водоотведения;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3) ремонт крыши;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4) ремонт подвальных помещений, относящихся к общему имуществу в многоквартирном доме;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5) ремонт фасада;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6) ремонт фундамента многоквартирного дома.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При этом в ч. 2 ст. 166 ЖК РФ указано, что нормативным правовым актом субъекта Российской Федерации указанный выше перечень услуг и (или) работ по капитальному ремонту общего имущества в МКД может быть дополнен услугами и (или) работами по: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- утеплению фасада;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- переустройству невентилируемой крыши на вентилируемую крышу;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- устройству выходов на кровлю;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-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- другими видами услуг и (или) работ.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Если говорить о финансовом участии органов власти в проведении капитального ремонта общего имущества в МКД, то следует отметить следующее.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Финансирование услуг и (или) работ по капитальному ремонту общего имущества в МКД, в том числе в МКД, не подлежащих включению в региональную программу капитального ремонта в соответствии с нормативным правовым актом субъекта Российской Федерации, в соответствии с ч. 1 ст. 191 ЖК РФ может осуществляться с применением мер финансовой поддержки, предоставляемой ТСЖ, ЖК, ЖСК,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Меры государственной поддержки, муниципальной поддержки капитального ремонта предоставляются независимо от применяемого собственниками помещений в МКД способа формирования фонда капитального ремонта (ч. 2 ст. 191 ЖК РФ).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992E75">
        <w:rPr>
          <w:b/>
          <w:i/>
          <w:color w:val="0070C0"/>
          <w:sz w:val="28"/>
          <w:szCs w:val="28"/>
          <w:u w:val="single"/>
        </w:rPr>
        <w:t xml:space="preserve">Могут ли за счет средств фонда капитального ремонта осуществляться работы по ремонту ИТП, 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992E75">
        <w:rPr>
          <w:b/>
          <w:i/>
          <w:color w:val="0070C0"/>
          <w:sz w:val="28"/>
          <w:szCs w:val="28"/>
          <w:u w:val="single"/>
        </w:rPr>
        <w:t xml:space="preserve">установленного в МКД? Или оснащение МКД ИТП, 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992E75">
        <w:rPr>
          <w:b/>
          <w:i/>
          <w:color w:val="0070C0"/>
          <w:sz w:val="28"/>
          <w:szCs w:val="28"/>
          <w:u w:val="single"/>
        </w:rPr>
        <w:t>как новым оборудованием?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Во многих многоквартирных домах современной постройки предусмотрены индивидуальные тепловые пункты (ИТП), пришедшие на смену центральным тепловым пунктам (ЦТП), обслуживающим сразу несколько объектов.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Однако не все ИТП, в силу разных причин, в установленном порядке включены в состав общего имущества собственников помещений в МКД.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 xml:space="preserve">В этой связи возникает вопрос: должны ли собственники помещений в МКД за свой счет осуществлять капитальный ремонт оборудования ИТП, если такое оборудование </w:t>
      </w:r>
      <w:r w:rsidRPr="00992E75">
        <w:rPr>
          <w:color w:val="000000"/>
        </w:rPr>
        <w:lastRenderedPageBreak/>
        <w:t>работает только на данный МКД, однако оно не включено в состав общего имущества собственников помещений в МКД?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С одной стороны, в силу ст. 210 Гражданского кодекса РФ собственник несет бремя содержания принадлежащего ему имущества, если иное не предусмотрено законом или договором.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согласно ч. 1 ст. 36 ЖК РФ принадлежит собственникам помещений в МКД на праве общей долевой собственности. В соответствии с ч. 1 ст. 166 ЖК РФ ремонт внутридомовых инженерных систем электро-, тепло-, газо-, водоснабжения, водоотведения включен в перечень услуг и (или) работ по капитальному ремонту общего имущества в МКД,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Таким образом, в случае, если ИТП включен в состав общего имущества собственников помещений в МКД, средства фонда капитального ремонта могут расходоваться на капитальный ремонт такого ИТП.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Однако в случае, если ИТП все-таки не включен в состав общего имущества собственников помещений в МКД (например, ИТП находится на балансе ресурсоснабжающей организации и обслуживается силами такой организации), работы и /или услуги по капитальному ремонту ИТП не могут финансироваться за счет средств фонда капитального ремонта.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Если говорить об установке ИТП как нового оборудования в рамках капитального ремонта, то важно отметить следующее. Согласно приказу Госкомархитектуры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при проведении капитального ремонта может осуществляться экономически целесообразная модернизация здания.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В соответствии с пунктом 14.2 статьи 1 Градостроительного кодекса РФ, под капитальным ремонтом объектов капитального строительства понимается,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Таким образом, в рамках работ по «ремонту внутридомовых инженерных систем электро-, тепло-, газо-, водоснабжения, водоотведения», предусмотренных п. 1 ст. 166 ЖК РФ, может осуществляться лишь замена и (или) восстановление указанных систем или их элементов, в том числе ремонт ИТП, но не модернизация, добавление новых элементов в систему – установка ИТП.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По смыслу ч. 2 ст. 166 ЖК РФ субъект Российской Федерации вправе включить в перечень услуг и (или) работ по капитальному ремонту общего имущества в МКД, финансируемых за счет средств фонда капитального ремонта, размер которых сформирован исходя из минимального размера взноса на капитальный ремонт, работ, не подпадающих под определение капитального ремонта, данное в п. 14.2 ст. 1 Градостроительного кодекса РФ, но тесно связанных с проведением капитального ремонта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 xml:space="preserve">Таким образом, установка ИТП возможна при проведении капитального ремонта, в случае включения такого вида работ, как установка ИТП, в утвержденный субъектом Российской Федерации перечень работ и услуг по капитальному ремонту общего имущества </w:t>
      </w:r>
      <w:r w:rsidRPr="00992E75">
        <w:rPr>
          <w:color w:val="000000"/>
        </w:rPr>
        <w:lastRenderedPageBreak/>
        <w:t>в МКД,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Кроме того, общее собрание собственников помещений в МКД вправе принять решение об уплате ежемесячных взносов на капитальный ремонт в размере большем, чем установленный минимальный размер взноса на капитальный ремонт ( ч. 2 ст. 44 ЖК РФ).</w:t>
      </w:r>
    </w:p>
    <w:p w:rsidR="00A64136" w:rsidRPr="00992E75" w:rsidRDefault="00A64136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2E75">
        <w:rPr>
          <w:color w:val="000000"/>
        </w:rPr>
        <w:t>Средства, накопленные за счет указанной выше "надбавки", установленной общим собранием собственников помещений в МКД, могут быть использованы на те виды работ в рамках капитального ремонта общего имущества в МКД, которые не перечислены в ч. 1 ст. 166 ЖК РФ и не предусмотрены законом субъекта Российской Федерации.</w:t>
      </w:r>
    </w:p>
    <w:p w:rsidR="00681C8C" w:rsidRPr="00992E75" w:rsidRDefault="00681C8C" w:rsidP="00A64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sectPr w:rsidR="00681C8C" w:rsidRPr="00992E75" w:rsidSect="00992E75">
      <w:footerReference w:type="default" r:id="rId9"/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E7" w:rsidRDefault="00C45FE7" w:rsidP="00BE23AA">
      <w:pPr>
        <w:spacing w:after="0" w:line="240" w:lineRule="auto"/>
      </w:pPr>
      <w:r>
        <w:separator/>
      </w:r>
    </w:p>
  </w:endnote>
  <w:endnote w:type="continuationSeparator" w:id="1">
    <w:p w:rsidR="00C45FE7" w:rsidRDefault="00C45FE7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369"/>
      <w:docPartObj>
        <w:docPartGallery w:val="Page Numbers (Bottom of Page)"/>
        <w:docPartUnique/>
      </w:docPartObj>
    </w:sdtPr>
    <w:sdtContent>
      <w:p w:rsidR="00EF0D16" w:rsidRDefault="00B015B1">
        <w:pPr>
          <w:pStyle w:val="ae"/>
          <w:jc w:val="right"/>
        </w:pPr>
        <w:fldSimple w:instr=" PAGE   \* MERGEFORMAT ">
          <w:r w:rsidR="00992E75">
            <w:rPr>
              <w:noProof/>
            </w:rPr>
            <w:t>3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E7" w:rsidRDefault="00C45FE7" w:rsidP="00BE23AA">
      <w:pPr>
        <w:spacing w:after="0" w:line="240" w:lineRule="auto"/>
      </w:pPr>
      <w:r>
        <w:separator/>
      </w:r>
    </w:p>
  </w:footnote>
  <w:footnote w:type="continuationSeparator" w:id="1">
    <w:p w:rsidR="00C45FE7" w:rsidRDefault="00C45FE7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549B0"/>
    <w:multiLevelType w:val="multilevel"/>
    <w:tmpl w:val="496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6"/>
  </w:num>
  <w:num w:numId="5">
    <w:abstractNumId w:val="33"/>
  </w:num>
  <w:num w:numId="6">
    <w:abstractNumId w:val="8"/>
  </w:num>
  <w:num w:numId="7">
    <w:abstractNumId w:val="22"/>
  </w:num>
  <w:num w:numId="8">
    <w:abstractNumId w:val="31"/>
  </w:num>
  <w:num w:numId="9">
    <w:abstractNumId w:val="29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26"/>
  </w:num>
  <w:num w:numId="15">
    <w:abstractNumId w:val="35"/>
  </w:num>
  <w:num w:numId="16">
    <w:abstractNumId w:val="34"/>
  </w:num>
  <w:num w:numId="17">
    <w:abstractNumId w:val="32"/>
  </w:num>
  <w:num w:numId="18">
    <w:abstractNumId w:val="23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  <w:num w:numId="23">
    <w:abstractNumId w:val="7"/>
  </w:num>
  <w:num w:numId="24">
    <w:abstractNumId w:val="21"/>
  </w:num>
  <w:num w:numId="25">
    <w:abstractNumId w:val="0"/>
  </w:num>
  <w:num w:numId="26">
    <w:abstractNumId w:val="24"/>
  </w:num>
  <w:num w:numId="27">
    <w:abstractNumId w:val="11"/>
  </w:num>
  <w:num w:numId="28">
    <w:abstractNumId w:val="20"/>
  </w:num>
  <w:num w:numId="29">
    <w:abstractNumId w:val="18"/>
  </w:num>
  <w:num w:numId="30">
    <w:abstractNumId w:val="19"/>
  </w:num>
  <w:num w:numId="31">
    <w:abstractNumId w:val="25"/>
  </w:num>
  <w:num w:numId="32">
    <w:abstractNumId w:val="3"/>
  </w:num>
  <w:num w:numId="33">
    <w:abstractNumId w:val="12"/>
  </w:num>
  <w:num w:numId="34">
    <w:abstractNumId w:val="27"/>
  </w:num>
  <w:num w:numId="35">
    <w:abstractNumId w:val="9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75C8"/>
    <w:rsid w:val="00180E68"/>
    <w:rsid w:val="00183F27"/>
    <w:rsid w:val="001C4C68"/>
    <w:rsid w:val="001C4E84"/>
    <w:rsid w:val="001C6354"/>
    <w:rsid w:val="001D123E"/>
    <w:rsid w:val="001F09B8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15A02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43B6"/>
    <w:rsid w:val="007E07D6"/>
    <w:rsid w:val="007E4181"/>
    <w:rsid w:val="007F1E6F"/>
    <w:rsid w:val="00803813"/>
    <w:rsid w:val="008157E9"/>
    <w:rsid w:val="00823FB2"/>
    <w:rsid w:val="00840125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0C7F"/>
    <w:rsid w:val="00923FAE"/>
    <w:rsid w:val="009431B7"/>
    <w:rsid w:val="00953560"/>
    <w:rsid w:val="00990250"/>
    <w:rsid w:val="00992E75"/>
    <w:rsid w:val="00997E05"/>
    <w:rsid w:val="009A41E6"/>
    <w:rsid w:val="009E53AA"/>
    <w:rsid w:val="009F409C"/>
    <w:rsid w:val="00A37B65"/>
    <w:rsid w:val="00A64136"/>
    <w:rsid w:val="00A71FAC"/>
    <w:rsid w:val="00A7757E"/>
    <w:rsid w:val="00A81314"/>
    <w:rsid w:val="00A948A1"/>
    <w:rsid w:val="00AA52EB"/>
    <w:rsid w:val="00AC5DDB"/>
    <w:rsid w:val="00AD0E93"/>
    <w:rsid w:val="00AD3854"/>
    <w:rsid w:val="00AD7847"/>
    <w:rsid w:val="00AE24DC"/>
    <w:rsid w:val="00AE7678"/>
    <w:rsid w:val="00AF7A97"/>
    <w:rsid w:val="00B015B1"/>
    <w:rsid w:val="00B109A5"/>
    <w:rsid w:val="00B3094E"/>
    <w:rsid w:val="00B319B1"/>
    <w:rsid w:val="00B401F4"/>
    <w:rsid w:val="00B41D25"/>
    <w:rsid w:val="00B4284D"/>
    <w:rsid w:val="00B436B5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45FE7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55837"/>
    <w:rsid w:val="00D62B18"/>
    <w:rsid w:val="00D90BA2"/>
    <w:rsid w:val="00D93AA5"/>
    <w:rsid w:val="00DB6BC3"/>
    <w:rsid w:val="00DC0D92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98</cp:revision>
  <cp:lastPrinted>2022-07-18T01:53:00Z</cp:lastPrinted>
  <dcterms:created xsi:type="dcterms:W3CDTF">2018-09-24T09:07:00Z</dcterms:created>
  <dcterms:modified xsi:type="dcterms:W3CDTF">2022-10-21T03:09:00Z</dcterms:modified>
</cp:coreProperties>
</file>